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8F" w:rsidRPr="009A43CB" w:rsidRDefault="00411B8F" w:rsidP="003B409B">
      <w:pPr>
        <w:tabs>
          <w:tab w:val="left" w:pos="5220"/>
          <w:tab w:val="left" w:pos="10065"/>
        </w:tabs>
        <w:spacing w:after="0" w:line="240" w:lineRule="auto"/>
        <w:ind w:left="522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9A43CB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PRITARTA</w:t>
      </w:r>
    </w:p>
    <w:p w:rsidR="00411B8F" w:rsidRPr="009A43CB" w:rsidRDefault="00411B8F" w:rsidP="003B409B">
      <w:pPr>
        <w:tabs>
          <w:tab w:val="left" w:pos="5220"/>
          <w:tab w:val="left" w:pos="10065"/>
        </w:tabs>
        <w:spacing w:after="0" w:line="240" w:lineRule="auto"/>
        <w:ind w:left="522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9A43CB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:rsidR="00411B8F" w:rsidRPr="009A43CB" w:rsidRDefault="00411B8F" w:rsidP="003B409B">
      <w:pPr>
        <w:tabs>
          <w:tab w:val="left" w:pos="5220"/>
          <w:tab w:val="left" w:pos="10065"/>
        </w:tabs>
        <w:spacing w:after="0" w:line="240" w:lineRule="auto"/>
        <w:ind w:left="522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9A43CB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2021 m. </w:t>
      </w:r>
      <w:r w:rsidR="00C20CD0" w:rsidRPr="009A43CB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kovo </w:t>
      </w:r>
      <w:r w:rsidR="008D63D8" w:rsidRPr="009A43CB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25</w:t>
      </w:r>
      <w:r w:rsidRPr="009A43CB">
        <w:rPr>
          <w:rFonts w:ascii="Times New Roman" w:eastAsia="SimSun" w:hAnsi="Times New Roman" w:cs="Times New Roman"/>
          <w:sz w:val="24"/>
          <w:szCs w:val="24"/>
          <w:lang w:val="lt-LT" w:eastAsia="zh-CN"/>
        </w:rPr>
        <w:t>d. sprendimu Nr. TS-</w:t>
      </w:r>
      <w:r w:rsidR="003B409B">
        <w:rPr>
          <w:rFonts w:ascii="Times New Roman" w:eastAsia="SimSun" w:hAnsi="Times New Roman" w:cs="Times New Roman"/>
          <w:sz w:val="24"/>
          <w:szCs w:val="24"/>
          <w:lang w:val="lt-LT" w:eastAsia="zh-CN"/>
        </w:rPr>
        <w:t>99</w:t>
      </w:r>
    </w:p>
    <w:p w:rsidR="00411B8F" w:rsidRDefault="00411B8F" w:rsidP="00531B7C">
      <w:pPr>
        <w:tabs>
          <w:tab w:val="left" w:pos="5220"/>
          <w:tab w:val="left" w:pos="100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1B7C" w:rsidRPr="009A43CB" w:rsidRDefault="00531B7C" w:rsidP="00531B7C">
      <w:pPr>
        <w:tabs>
          <w:tab w:val="left" w:pos="5220"/>
          <w:tab w:val="left" w:pos="100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36AD" w:rsidRPr="009A43CB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3CB">
        <w:rPr>
          <w:rFonts w:ascii="Times New Roman" w:hAnsi="Times New Roman" w:cs="Times New Roman"/>
          <w:b/>
          <w:bCs/>
          <w:sz w:val="24"/>
          <w:szCs w:val="24"/>
        </w:rPr>
        <w:t>KAUNO R</w:t>
      </w:r>
      <w:r w:rsidR="00341486" w:rsidRPr="009A43CB">
        <w:rPr>
          <w:rFonts w:ascii="Times New Roman" w:hAnsi="Times New Roman" w:cs="Times New Roman"/>
          <w:b/>
          <w:bCs/>
          <w:sz w:val="24"/>
          <w:szCs w:val="24"/>
        </w:rPr>
        <w:t xml:space="preserve">. KULAUTUVOS LOPŠELIO-DARŽELIO </w:t>
      </w:r>
    </w:p>
    <w:p w:rsidR="002D36AD" w:rsidRPr="009A43CB" w:rsidRDefault="00411B8F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43C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2D36AD" w:rsidRPr="009A43CB">
        <w:rPr>
          <w:rFonts w:ascii="Times New Roman" w:hAnsi="Times New Roman" w:cs="Times New Roman"/>
          <w:b/>
          <w:bCs/>
          <w:sz w:val="24"/>
          <w:szCs w:val="24"/>
        </w:rPr>
        <w:t xml:space="preserve"> METŲ VEIKLOS ATASKAITA</w:t>
      </w:r>
    </w:p>
    <w:p w:rsidR="00E63781" w:rsidRPr="009A43CB" w:rsidRDefault="00E63781" w:rsidP="00E60AC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D36AD" w:rsidRPr="009A43CB" w:rsidRDefault="002D36AD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CB">
        <w:rPr>
          <w:rFonts w:ascii="Times New Roman" w:hAnsi="Times New Roman" w:cs="Times New Roman"/>
          <w:b/>
          <w:sz w:val="24"/>
          <w:szCs w:val="24"/>
        </w:rPr>
        <w:t xml:space="preserve">VADOVO ŽODIS </w:t>
      </w:r>
    </w:p>
    <w:p w:rsidR="00E63781" w:rsidRPr="009A43CB" w:rsidRDefault="00E63781" w:rsidP="00E637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77DD" w:rsidRPr="009A43CB" w:rsidRDefault="00802031" w:rsidP="00C177D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A43CB">
        <w:rPr>
          <w:rFonts w:ascii="Times New Roman" w:hAnsi="Times New Roman" w:cs="Times New Roman"/>
          <w:bCs/>
          <w:sz w:val="24"/>
          <w:szCs w:val="24"/>
          <w:lang w:val="lt-LT"/>
        </w:rPr>
        <w:t>2020</w:t>
      </w:r>
      <w:r w:rsidR="00B372DE" w:rsidRPr="009A43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B372DE" w:rsidRPr="009A43CB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p</w:t>
      </w:r>
      <w:r w:rsidR="00FD4E2C" w:rsidRPr="009A43CB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andemijos iššūki</w:t>
      </w:r>
      <w:r w:rsidR="00200FFC" w:rsidRPr="009A43CB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us ir nuotolinio ugdymo naujoves įgyvendinome sėkmingai.</w:t>
      </w:r>
      <w:r w:rsidR="00B372DE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Informacinės komunikacinės technologijos pareikalavo atitinkamų investicijų tiek tobulinant asmeninę naujų technologijų valdymo kompetenciją, tiek sutelkiant bendruomenę profesiniam tobulėjimui bei augimui.</w:t>
      </w:r>
      <w:r w:rsidR="00975AB9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Įstaigoje visi pedagoginiaidarbuotojai ir dalis tėvų pradėjo naudotis elektroniniu dienynu, kuris palengvin</w:t>
      </w:r>
      <w:r w:rsidR="00F96909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  <w:r w:rsidR="00975AB9" w:rsidRPr="009A43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įstaigos darbuotojų irtėvų bendravimą</w:t>
      </w:r>
      <w:r w:rsidR="00200FFC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975AB9" w:rsidRPr="009A43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siekiant bendro tikslo kuo geriau išugdyti vaikus.</w:t>
      </w:r>
      <w:r w:rsidR="005357F7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Džiaugiamės įsteigtu mokytojos padėjėjos</w:t>
      </w:r>
      <w:r w:rsidR="00F4243D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SPU</w:t>
      </w:r>
      <w:r w:rsidR="00CB713A" w:rsidRPr="009A43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etatu,</w:t>
      </w:r>
      <w:r w:rsidR="005357F7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padidė</w:t>
      </w:r>
      <w:r w:rsidR="00200FFC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jusiais atlyginimais mokytojoms ir prasidėjusiu lopšelio-darželio renovacijos projektu.</w:t>
      </w:r>
    </w:p>
    <w:p w:rsidR="00C820A8" w:rsidRPr="009A43CB" w:rsidRDefault="00560046" w:rsidP="00C177D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A43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Dėka </w:t>
      </w:r>
      <w:r w:rsidR="005357F7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stiprios mokytojų,tėvų ir visos bendruomenės, kaip vieningos komandos pastangų</w:t>
      </w:r>
      <w:r w:rsidR="00F4243D" w:rsidRPr="009A43CB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5357F7" w:rsidRPr="009A43C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pavyko sėkmingai įgyvendinti įstaigos veiklos prioritetus.</w:t>
      </w:r>
    </w:p>
    <w:p w:rsidR="00103B1B" w:rsidRPr="009A43CB" w:rsidRDefault="00103B1B" w:rsidP="003B025B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</w:pPr>
    </w:p>
    <w:p w:rsidR="003B025B" w:rsidRPr="009A43CB" w:rsidRDefault="003B025B" w:rsidP="003B025B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A43CB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MOKYKLOS STRATEGINIO PLANO IR METINIO VEIKLOS PLANO ĮGYVENDINIMO ANALIZĖ</w:t>
      </w:r>
    </w:p>
    <w:p w:rsidR="00222145" w:rsidRPr="009A43CB" w:rsidRDefault="00222145" w:rsidP="002221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2916"/>
        <w:gridCol w:w="6705"/>
      </w:tblGrid>
      <w:tr w:rsidR="009A43CB" w:rsidRPr="009A43CB" w:rsidTr="00590999">
        <w:tc>
          <w:tcPr>
            <w:tcW w:w="2689" w:type="dxa"/>
          </w:tcPr>
          <w:p w:rsidR="00BF1204" w:rsidRPr="009A43CB" w:rsidRDefault="00BF1204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6932" w:type="dxa"/>
          </w:tcPr>
          <w:p w:rsidR="00BF1204" w:rsidRPr="009A43CB" w:rsidRDefault="00F61290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 w:rsidRPr="009A43CB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9A43CB" w:rsidRPr="009A43CB" w:rsidTr="00590999">
        <w:tc>
          <w:tcPr>
            <w:tcW w:w="9621" w:type="dxa"/>
            <w:gridSpan w:val="2"/>
          </w:tcPr>
          <w:p w:rsidR="00106C82" w:rsidRPr="009A43CB" w:rsidRDefault="00106C82" w:rsidP="000A56C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1.Tikslas. Teikti kokybišką, tenkinantį kiekvieno mokinio poreikius ir galias, ugdymą</w:t>
            </w:r>
            <w:r w:rsidRPr="009A43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A43CB" w:rsidRPr="009A43CB" w:rsidTr="00590999">
        <w:tc>
          <w:tcPr>
            <w:tcW w:w="2689" w:type="dxa"/>
          </w:tcPr>
          <w:p w:rsidR="00106C82" w:rsidRPr="009A43CB" w:rsidRDefault="00106C82" w:rsidP="00B372DE">
            <w:pPr>
              <w:pStyle w:val="ListParagraph"/>
              <w:numPr>
                <w:ilvl w:val="1"/>
                <w:numId w:val="1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Uždavinys.Tobulinti mokytojų profesinę ir asmeninę kompetencijas.</w:t>
            </w:r>
          </w:p>
        </w:tc>
        <w:tc>
          <w:tcPr>
            <w:tcW w:w="6932" w:type="dxa"/>
          </w:tcPr>
          <w:p w:rsidR="00106C82" w:rsidRPr="009A43CB" w:rsidRDefault="00106C82" w:rsidP="0073073A">
            <w:pPr>
              <w:numPr>
                <w:ilvl w:val="0"/>
                <w:numId w:val="4"/>
              </w:numPr>
              <w:tabs>
                <w:tab w:val="clear" w:pos="420"/>
                <w:tab w:val="left" w:pos="66"/>
                <w:tab w:val="left" w:pos="20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Visi mokytojai</w:t>
            </w:r>
            <w:r w:rsidR="00E704FF" w:rsidRPr="009A43CB">
              <w:rPr>
                <w:rFonts w:ascii="Times New Roman" w:hAnsi="Times New Roman"/>
                <w:sz w:val="24"/>
                <w:szCs w:val="24"/>
              </w:rPr>
              <w:t xml:space="preserve"> tobulino savo 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 xml:space="preserve">asmenines ir profesines kompetencijas. 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 xml:space="preserve">Įgytos žinios taikomos praktikoje. 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>Dalyvavo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semina</w:t>
            </w:r>
            <w:r w:rsidR="00BF34D5" w:rsidRPr="009A43CB">
              <w:rPr>
                <w:rFonts w:ascii="Times New Roman" w:hAnsi="Times New Roman"/>
                <w:sz w:val="24"/>
                <w:szCs w:val="24"/>
              </w:rPr>
              <w:t>r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>uose, mokymuose, konferencijose: r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espublikinis forumas ikimokyklinio ugdymo pedagogams ,,Kokybė ir turinys”, ,,Mokymasis eksperime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>ntuojant”, ,,</w:t>
            </w:r>
            <w:r w:rsidR="00C67727" w:rsidRPr="009A43CB">
              <w:rPr>
                <w:rFonts w:ascii="Times New Roman" w:hAnsi="Times New Roman"/>
                <w:sz w:val="24"/>
                <w:szCs w:val="24"/>
              </w:rPr>
              <w:t>K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ūrybiškas metodinių priemonių pritaikymas ikimokyklinukų veikloje”, ,,Ugdymo proceso planavimo ir vertinimo iš vaiko perspektyvos teoriniai ir praktiniai aspektai”, ,,Kaip pasirengti nuotoliniam mokymui ir kokias priemones pasitelkti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>į pagalbą”,  konferencija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,,Holistinis požiūris į vaiką”.Laimingas ir išmokytas vaikas ugdymo įstai</w:t>
            </w:r>
            <w:r w:rsidR="00C67727" w:rsidRPr="009A43CB">
              <w:rPr>
                <w:rFonts w:ascii="Times New Roman" w:hAnsi="Times New Roman"/>
                <w:sz w:val="24"/>
                <w:szCs w:val="24"/>
              </w:rPr>
              <w:t>goje”, “Inovatyvi ir saug</w:t>
            </w:r>
            <w:r w:rsidR="002E0B38" w:rsidRPr="009A43CB">
              <w:rPr>
                <w:rFonts w:ascii="Times New Roman" w:hAnsi="Times New Roman"/>
                <w:sz w:val="24"/>
                <w:szCs w:val="24"/>
              </w:rPr>
              <w:t>i ikimokyklinio ugdymo įstaiga”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,,Probleminis vaikų su ASS elgesiu valdymas”,  ,,Socialinės ir emocinės vaiko gerovės didinimas ikimokyklinio ugdymo įstaigoje”, ,,Socia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 xml:space="preserve">laus elgesio ugdymas darželyje”. Patobulintos profesinės </w:t>
            </w:r>
            <w:r w:rsidR="00C177DD" w:rsidRPr="009A43CB">
              <w:rPr>
                <w:rFonts w:ascii="Times New Roman" w:hAnsi="Times New Roman"/>
                <w:sz w:val="24"/>
                <w:szCs w:val="24"/>
              </w:rPr>
              <w:t>ir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 xml:space="preserve"> specialiosios kompetencijos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7DD" w:rsidRPr="009A43CB" w:rsidRDefault="006B6522" w:rsidP="0073073A">
            <w:pPr>
              <w:numPr>
                <w:ilvl w:val="0"/>
                <w:numId w:val="4"/>
              </w:numPr>
              <w:tabs>
                <w:tab w:val="clear" w:pos="420"/>
                <w:tab w:val="left" w:pos="66"/>
                <w:tab w:val="left" w:pos="20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Pedagogės dalino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si gerąja pati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 xml:space="preserve">rtimi Mokytojų tarybos būrelyje.  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>Skaitė p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>ranešim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>ą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,,Smulkiosios motorikos lavinimas, reikšmė vaiko vystymuisi bei kalbai”. Veiksmi</w:t>
            </w:r>
            <w:r w:rsidR="00860852" w:rsidRPr="009A43CB">
              <w:rPr>
                <w:rFonts w:ascii="Times New Roman" w:hAnsi="Times New Roman"/>
                <w:sz w:val="24"/>
                <w:szCs w:val="24"/>
              </w:rPr>
              <w:t xml:space="preserve">nga grįžtamojo ryšio praktika, 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 xml:space="preserve">organizuotas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komandinis darbas siekiant bendrų tikslų įgyvendinimo.</w:t>
            </w:r>
          </w:p>
        </w:tc>
      </w:tr>
      <w:tr w:rsidR="009A43CB" w:rsidRPr="009A43CB" w:rsidTr="00590999">
        <w:tc>
          <w:tcPr>
            <w:tcW w:w="2689" w:type="dxa"/>
          </w:tcPr>
          <w:p w:rsidR="00106C82" w:rsidRPr="009A43CB" w:rsidRDefault="00106C82" w:rsidP="0073073A">
            <w:pPr>
              <w:pStyle w:val="ListParagraph"/>
              <w:numPr>
                <w:ilvl w:val="1"/>
                <w:numId w:val="10"/>
              </w:numPr>
              <w:tabs>
                <w:tab w:val="left" w:pos="45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lastRenderedPageBreak/>
              <w:t>Uždavinys. Ugdymo turinį praturtinti lauko pedagogikos idėjomis, sudarant palankias sąlygas vaikų žaidybinei, kūrybiniai veiklai lauke.</w:t>
            </w:r>
          </w:p>
          <w:p w:rsidR="00106C82" w:rsidRPr="009A43CB" w:rsidRDefault="00106C82" w:rsidP="000A56C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</w:tcPr>
          <w:p w:rsidR="00106C82" w:rsidRPr="009A43CB" w:rsidRDefault="00106C82" w:rsidP="0073073A">
            <w:pPr>
              <w:numPr>
                <w:ilvl w:val="0"/>
                <w:numId w:val="5"/>
              </w:numPr>
              <w:tabs>
                <w:tab w:val="clear" w:pos="420"/>
                <w:tab w:val="left" w:pos="20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Kūrybiškai panaudojamos lauko erdvės ugdymo procesui</w:t>
            </w:r>
            <w:r w:rsidR="00341486" w:rsidRPr="009A4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20% organizuotų veiklų vyko lauke. Ugdomosios veiklos vedamos netradicinėse aplinkose- darželio kieme, miške, parke, prie vandens telkinių, Kulautuvos pagrindinės mokyklos st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adione, bei salėje. Tai leido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vaikams patirti naujus potyrius, veiklos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 xml:space="preserve"> buvo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patrauklesnės, 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įdomesnės. Vaikai geriau įsim</w:t>
            </w:r>
            <w:r w:rsidR="00C177DD" w:rsidRPr="009A43CB">
              <w:rPr>
                <w:rFonts w:ascii="Times New Roman" w:hAnsi="Times New Roman"/>
                <w:sz w:val="24"/>
                <w:szCs w:val="24"/>
              </w:rPr>
              <w:t>i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nė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naujas žinias per tyrinėjimą, gyvą pažinimą. Ne mažiau 50 % ugdytinių dalyvavo edukacinėse veiklos</w:t>
            </w:r>
            <w:r w:rsidR="00121CAF" w:rsidRPr="009A43CB">
              <w:rPr>
                <w:rFonts w:ascii="Times New Roman" w:hAnsi="Times New Roman"/>
                <w:sz w:val="24"/>
                <w:szCs w:val="24"/>
              </w:rPr>
              <w:t>e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už darželio ribų. Vaikai motyvuoti, patiria daug įspūdžių, teigiamų emocijų.</w:t>
            </w:r>
          </w:p>
          <w:p w:rsidR="00106C82" w:rsidRPr="009A43CB" w:rsidRDefault="00D76F18" w:rsidP="0073073A">
            <w:pPr>
              <w:numPr>
                <w:ilvl w:val="0"/>
                <w:numId w:val="5"/>
              </w:numPr>
              <w:tabs>
                <w:tab w:val="clear" w:pos="420"/>
                <w:tab w:val="left" w:pos="20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Ugdomoji veikla tapo įvairesnė, patrauklesnė.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Ugdymas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 xml:space="preserve"> buvo organizuotas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pagal pas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irinktus grupių ugdymo modelius.</w:t>
            </w:r>
          </w:p>
        </w:tc>
      </w:tr>
      <w:tr w:rsidR="009A43CB" w:rsidRPr="009A43CB" w:rsidTr="00590999">
        <w:tc>
          <w:tcPr>
            <w:tcW w:w="9621" w:type="dxa"/>
            <w:gridSpan w:val="2"/>
          </w:tcPr>
          <w:p w:rsidR="00106C82" w:rsidRPr="009A43CB" w:rsidRDefault="00106C82" w:rsidP="000A56C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2.Tikslas. Sudaryti saugias ir sveikas ugdymosi sąlygas.</w:t>
            </w:r>
          </w:p>
        </w:tc>
      </w:tr>
      <w:tr w:rsidR="009A43CB" w:rsidRPr="009A43CB" w:rsidTr="00590999">
        <w:tc>
          <w:tcPr>
            <w:tcW w:w="2689" w:type="dxa"/>
          </w:tcPr>
          <w:p w:rsidR="00106C82" w:rsidRPr="009A43CB" w:rsidRDefault="00106C82" w:rsidP="0073073A">
            <w:pPr>
              <w:pStyle w:val="ListParagraph"/>
              <w:numPr>
                <w:ilvl w:val="1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Uždavinys.Puoselėti, saugoti ir stiprinti vaikų sveikatą. </w:t>
            </w:r>
          </w:p>
        </w:tc>
        <w:tc>
          <w:tcPr>
            <w:tcW w:w="6932" w:type="dxa"/>
          </w:tcPr>
          <w:p w:rsidR="00106C82" w:rsidRPr="009A43CB" w:rsidRDefault="00D76F18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Buvo formuojami vaikų sveikos gyvensenos pirminės nuostatos ir įgūdžiai.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Sveikatingumo programa integruojama į IU programą.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 xml:space="preserve"> IU mokytoj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os, sveikatą stiprinančių mokyklų įstaigos koordinatorius, kartu su visuomenės sveikatos pr</w:t>
            </w:r>
            <w:r w:rsidR="00C46A78" w:rsidRPr="009A43CB">
              <w:rPr>
                <w:rFonts w:ascii="Times New Roman" w:hAnsi="Times New Roman"/>
                <w:sz w:val="24"/>
                <w:szCs w:val="24"/>
              </w:rPr>
              <w:t xml:space="preserve">iežiūros specialiste dalyvavo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Kauno r. sveikatą stiprinančių mokyklų iniciatyv</w:t>
            </w:r>
            <w:r w:rsidR="00103B1B" w:rsidRPr="009A43CB">
              <w:rPr>
                <w:rFonts w:ascii="Times New Roman" w:hAnsi="Times New Roman"/>
                <w:sz w:val="24"/>
                <w:szCs w:val="24"/>
              </w:rPr>
              <w:t xml:space="preserve">ose: ,,Mano sveikatos mozaika”,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,,Linksmas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is garvežiukas”, eksperimentiniuose užsiėmimuose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,,Kovoju su</w:t>
            </w:r>
            <w:r w:rsidR="00103B1B" w:rsidRPr="009A43CB">
              <w:rPr>
                <w:rFonts w:ascii="Times New Roman" w:hAnsi="Times New Roman"/>
                <w:sz w:val="24"/>
                <w:szCs w:val="24"/>
              </w:rPr>
              <w:t xml:space="preserve"> mikrobais”, ,,Mano dantukai”, ,,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Judu ir esu sveikas”, ,,Emoci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 xml:space="preserve">ukas’, ,,Būk saugus ir matomas”,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higieno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s stiprinimo užsiėmimuose.</w:t>
            </w:r>
          </w:p>
          <w:p w:rsidR="00106C82" w:rsidRPr="009A43CB" w:rsidRDefault="006B6522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Dalyvauta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respublikinėse akcijose ,,Savaitė be pa</w:t>
            </w:r>
            <w:r w:rsidR="00103B1B" w:rsidRPr="009A43CB">
              <w:rPr>
                <w:rFonts w:ascii="Times New Roman" w:hAnsi="Times New Roman"/>
                <w:sz w:val="24"/>
                <w:szCs w:val="24"/>
              </w:rPr>
              <w:t>tyčių”</w:t>
            </w:r>
            <w:r w:rsidR="00C51FAA" w:rsidRPr="009A43CB">
              <w:rPr>
                <w:rFonts w:ascii="Times New Roman" w:hAnsi="Times New Roman"/>
                <w:sz w:val="24"/>
                <w:szCs w:val="24"/>
              </w:rPr>
              <w:t xml:space="preserve"> ir ,,Tolerancijos diena”,”Europos judėjimo savaitė”</w:t>
            </w:r>
            <w:r w:rsidR="00144970" w:rsidRPr="009A4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C82" w:rsidRPr="009A43CB" w:rsidRDefault="00D76F18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Organizuotos a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ktyvios, fizinį aktyvumą skatinančios veiklos 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pagerino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vaikų fizinius ir protinius gebėjimus.</w:t>
            </w:r>
          </w:p>
          <w:p w:rsidR="00106C82" w:rsidRPr="009A43CB" w:rsidRDefault="006B6522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Pr</w:t>
            </w:r>
            <w:r w:rsidR="00CB713A" w:rsidRPr="009A43CB">
              <w:rPr>
                <w:rFonts w:ascii="Times New Roman" w:hAnsi="Times New Roman"/>
                <w:sz w:val="24"/>
                <w:szCs w:val="24"/>
              </w:rPr>
              <w:t>evencinės programos integruotos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į IU programą. 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Ilgalaikės ir nuoseklios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Socialinės-emocinės programos ,,Kimochis” įgy</w:t>
            </w:r>
            <w:r w:rsidR="00C177DD" w:rsidRPr="009A43CB">
              <w:rPr>
                <w:rFonts w:ascii="Times New Roman" w:hAnsi="Times New Roman"/>
                <w:sz w:val="24"/>
                <w:szCs w:val="24"/>
              </w:rPr>
              <w:t>v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endinimas pe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r žaidybin</w:t>
            </w:r>
            <w:r w:rsidR="00C177DD" w:rsidRPr="009A43CB">
              <w:rPr>
                <w:rFonts w:ascii="Times New Roman" w:hAnsi="Times New Roman"/>
                <w:sz w:val="24"/>
                <w:szCs w:val="24"/>
              </w:rPr>
              <w:t>ę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veiklą supažindino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>ugdytinius su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jausmais, lavino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socialines-emocines kompetencijas.</w:t>
            </w:r>
          </w:p>
          <w:p w:rsidR="00106C82" w:rsidRPr="009A43CB" w:rsidRDefault="006B6522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Kryptingai organizuotas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Vaiko gerovės komisijos darbas.Mokytojo padėjėjo SUP vaikams įsteigimas - individuali pagalba vaikui 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pagerino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ugdymo proceso veiklą.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 xml:space="preserve"> Teikta švietėjiška parama ir pagalba šeimai ir individualios pedagogų ir logopedo konsultacijos tėvams.</w:t>
            </w:r>
          </w:p>
          <w:p w:rsidR="00522E0F" w:rsidRPr="009A43CB" w:rsidRDefault="00106C82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Atnaujinti vaikų sveikatai palankio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>s mitybos valgiaraščiai.</w:t>
            </w:r>
            <w:r w:rsidR="00CB713A" w:rsidRPr="009A43CB">
              <w:rPr>
                <w:rFonts w:ascii="Times New Roman" w:hAnsi="Times New Roman"/>
                <w:sz w:val="24"/>
                <w:szCs w:val="24"/>
              </w:rPr>
              <w:t xml:space="preserve"> Formuojami</w:t>
            </w:r>
            <w:r w:rsidR="00522E0F" w:rsidRPr="009A43CB">
              <w:rPr>
                <w:rFonts w:ascii="Times New Roman" w:hAnsi="Times New Roman"/>
                <w:sz w:val="24"/>
                <w:szCs w:val="24"/>
              </w:rPr>
              <w:t xml:space="preserve"> ugdytinių sveikos mitybos įpročiai.  </w:t>
            </w:r>
          </w:p>
          <w:p w:rsidR="00C51FAA" w:rsidRPr="009A43CB" w:rsidRDefault="006B6522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Vykdyta </w:t>
            </w:r>
            <w:r w:rsidR="00106C82" w:rsidRPr="009A43CB">
              <w:rPr>
                <w:rFonts w:ascii="Times New Roman" w:hAnsi="Times New Roman"/>
                <w:sz w:val="24"/>
                <w:szCs w:val="24"/>
              </w:rPr>
              <w:t xml:space="preserve"> parama ir pagalba šeimai, maitin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ant alergiškus vaikus.</w:t>
            </w:r>
          </w:p>
          <w:p w:rsidR="00106C82" w:rsidRPr="009A43CB" w:rsidRDefault="00C51FAA" w:rsidP="0073073A">
            <w:pPr>
              <w:numPr>
                <w:ilvl w:val="0"/>
                <w:numId w:val="7"/>
              </w:numPr>
              <w:tabs>
                <w:tab w:val="clear" w:pos="420"/>
                <w:tab w:val="left" w:pos="0"/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Atnaujintas virtuvinis inventorius (šaldytuvas, puodai, keptuvės,</w:t>
            </w:r>
            <w:r w:rsidR="00F914D2" w:rsidRPr="009A4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F914D2" w:rsidRPr="009A43C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vaisių, daržovių</w:t>
            </w:r>
            <w:r w:rsidR="00F914D2" w:rsidRPr="009A4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914D2" w:rsidRPr="009A43C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 trintuvas, maišytuvas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, svarstyklės)</w:t>
            </w:r>
            <w:r w:rsidR="00522E0F" w:rsidRPr="009A43CB">
              <w:rPr>
                <w:rFonts w:ascii="Times New Roman" w:hAnsi="Times New Roman"/>
                <w:sz w:val="24"/>
                <w:szCs w:val="24"/>
              </w:rPr>
              <w:t>. Pagerėjo maisto ruošimo kokybė.</w:t>
            </w:r>
          </w:p>
        </w:tc>
      </w:tr>
      <w:tr w:rsidR="00106C82" w:rsidRPr="009A43CB" w:rsidTr="00590999">
        <w:tc>
          <w:tcPr>
            <w:tcW w:w="2689" w:type="dxa"/>
          </w:tcPr>
          <w:p w:rsidR="00106C82" w:rsidRPr="009A43CB" w:rsidRDefault="00106C82" w:rsidP="0073073A">
            <w:pPr>
              <w:pStyle w:val="ListParagraph"/>
              <w:numPr>
                <w:ilvl w:val="1"/>
                <w:numId w:val="11"/>
              </w:numPr>
              <w:tabs>
                <w:tab w:val="left" w:pos="45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Uždavinys.Turtinti ir plėsti darželio ugdymosi aplinkas.</w:t>
            </w:r>
          </w:p>
        </w:tc>
        <w:tc>
          <w:tcPr>
            <w:tcW w:w="6932" w:type="dxa"/>
          </w:tcPr>
          <w:p w:rsidR="00106C82" w:rsidRPr="009A43CB" w:rsidRDefault="00106C82" w:rsidP="0073073A">
            <w:pPr>
              <w:numPr>
                <w:ilvl w:val="0"/>
                <w:numId w:val="8"/>
              </w:numPr>
              <w:tabs>
                <w:tab w:val="clear" w:pos="420"/>
                <w:tab w:val="left" w:pos="0"/>
                <w:tab w:val="left" w:pos="20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Tobulin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>tos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ir plėto</w:t>
            </w:r>
            <w:r w:rsidR="00D76F18" w:rsidRPr="009A43CB">
              <w:rPr>
                <w:rFonts w:ascii="Times New Roman" w:hAnsi="Times New Roman"/>
                <w:sz w:val="24"/>
                <w:szCs w:val="24"/>
              </w:rPr>
              <w:t>tos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darželio lauko ir vidaus aplinkos. Įsigyta naujų ugdymosi priemonių pagal grupių poreikius.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 xml:space="preserve"> Apsirūpinta IKT priemonėmis:</w:t>
            </w:r>
            <w:r w:rsidR="00A3330B" w:rsidRPr="009A43CB">
              <w:rPr>
                <w:rFonts w:ascii="Times New Roman" w:hAnsi="Times New Roman"/>
                <w:sz w:val="24"/>
                <w:szCs w:val="24"/>
              </w:rPr>
              <w:t xml:space="preserve"> nešioja</w:t>
            </w:r>
            <w:r w:rsidR="00856818" w:rsidRPr="009A43CB">
              <w:rPr>
                <w:rFonts w:ascii="Times New Roman" w:hAnsi="Times New Roman"/>
                <w:sz w:val="24"/>
                <w:szCs w:val="24"/>
              </w:rPr>
              <w:t>ma</w:t>
            </w:r>
            <w:r w:rsidR="00A3330B" w:rsidRPr="009A43CB">
              <w:rPr>
                <w:rFonts w:ascii="Times New Roman" w:hAnsi="Times New Roman"/>
                <w:sz w:val="24"/>
                <w:szCs w:val="24"/>
              </w:rPr>
              <w:t>i</w:t>
            </w:r>
            <w:r w:rsidR="00856818" w:rsidRPr="009A43CB">
              <w:rPr>
                <w:rFonts w:ascii="Times New Roman" w:hAnsi="Times New Roman"/>
                <w:sz w:val="24"/>
                <w:szCs w:val="24"/>
              </w:rPr>
              <w:t>s</w:t>
            </w:r>
            <w:r w:rsidR="006B6522" w:rsidRPr="009A43CB">
              <w:rPr>
                <w:rFonts w:ascii="Times New Roman" w:hAnsi="Times New Roman"/>
                <w:sz w:val="24"/>
                <w:szCs w:val="24"/>
              </w:rPr>
              <w:t xml:space="preserve"> kompiuteriais</w:t>
            </w:r>
            <w:r w:rsidR="00744783" w:rsidRPr="009A43CB">
              <w:rPr>
                <w:rFonts w:ascii="Times New Roman" w:hAnsi="Times New Roman"/>
                <w:sz w:val="24"/>
                <w:szCs w:val="24"/>
              </w:rPr>
              <w:t>, projektoriais. Įrengtos s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augios žaidimų aikštelių dangos, atitinkančios higienos reikalavimus.</w:t>
            </w:r>
            <w:r w:rsidR="00744783" w:rsidRPr="009A43CB">
              <w:rPr>
                <w:rFonts w:ascii="Times New Roman" w:hAnsi="Times New Roman"/>
                <w:sz w:val="24"/>
                <w:szCs w:val="24"/>
              </w:rPr>
              <w:t>Užtikrinta e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fektyvi ugdomoji veikla, tenkinanti darželio bendruomenės poreikius.</w:t>
            </w:r>
          </w:p>
          <w:p w:rsidR="00106C82" w:rsidRPr="009A43CB" w:rsidRDefault="00106C82" w:rsidP="0073073A">
            <w:pPr>
              <w:numPr>
                <w:ilvl w:val="0"/>
                <w:numId w:val="8"/>
              </w:numPr>
              <w:tabs>
                <w:tab w:val="clear" w:pos="420"/>
                <w:tab w:val="left" w:pos="0"/>
                <w:tab w:val="left" w:pos="20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 Atnaujinta darželio IT bazė. Įdiegtas elektroninis dienynas ,,Mūsų darželis”.</w:t>
            </w:r>
            <w:r w:rsidR="00856818" w:rsidRPr="009A43CB">
              <w:rPr>
                <w:rFonts w:ascii="Times New Roman" w:hAnsi="Times New Roman"/>
                <w:sz w:val="24"/>
                <w:szCs w:val="24"/>
              </w:rPr>
              <w:t xml:space="preserve"> Tai </w:t>
            </w:r>
            <w:r w:rsidR="00856818" w:rsidRPr="009A43CB">
              <w:rPr>
                <w:rFonts w:ascii="Times New Roman" w:hAnsi="Times New Roman"/>
                <w:bCs/>
                <w:sz w:val="24"/>
                <w:szCs w:val="24"/>
              </w:rPr>
              <w:t xml:space="preserve">modernus ikimokyklinio ugdymo įstaigų </w:t>
            </w:r>
            <w:r w:rsidR="00856818" w:rsidRPr="009A43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darbo įrankis,</w:t>
            </w:r>
            <w:r w:rsidR="00856818" w:rsidRPr="009A43CB">
              <w:rPr>
                <w:rFonts w:ascii="Times New Roman" w:hAnsi="Times New Roman"/>
                <w:sz w:val="24"/>
                <w:szCs w:val="24"/>
              </w:rPr>
              <w:t xml:space="preserve"> kuriuo tėvai ir lopšelio-darželio darbuotojai bendrauja tarpusavyje, siekdami bendro tikslo – kuo geriau išugdyti vaikus.</w:t>
            </w:r>
          </w:p>
        </w:tc>
      </w:tr>
    </w:tbl>
    <w:p w:rsidR="00D76F18" w:rsidRPr="009A43CB" w:rsidRDefault="00D76F18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61290" w:rsidRPr="009A43CB" w:rsidRDefault="00267F76" w:rsidP="00F612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A43CB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ŠVIETIMO KOKYBĖS RODIKLIAI</w:t>
      </w:r>
    </w:p>
    <w:p w:rsidR="00584AA2" w:rsidRPr="009A43CB" w:rsidRDefault="00584AA2" w:rsidP="00660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3114"/>
        <w:gridCol w:w="1134"/>
        <w:gridCol w:w="1252"/>
        <w:gridCol w:w="307"/>
        <w:gridCol w:w="2079"/>
        <w:gridCol w:w="1890"/>
      </w:tblGrid>
      <w:tr w:rsidR="009A43CB" w:rsidRPr="009A43CB" w:rsidTr="00783593">
        <w:tc>
          <w:tcPr>
            <w:tcW w:w="7886" w:type="dxa"/>
            <w:gridSpan w:val="5"/>
          </w:tcPr>
          <w:p w:rsidR="0044502A" w:rsidRPr="009A43CB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1890" w:type="dxa"/>
          </w:tcPr>
          <w:p w:rsidR="0044502A" w:rsidRPr="009A43CB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634A65" w:rsidRPr="009A43CB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1890" w:type="dxa"/>
          </w:tcPr>
          <w:p w:rsidR="00634A65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634A65" w:rsidRPr="009A43CB" w:rsidRDefault="00634A65" w:rsidP="0063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1890" w:type="dxa"/>
          </w:tcPr>
          <w:p w:rsidR="00634A65" w:rsidRPr="009A43CB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3CB" w:rsidRPr="009A43CB" w:rsidTr="00783593">
        <w:tc>
          <w:tcPr>
            <w:tcW w:w="7886" w:type="dxa"/>
            <w:gridSpan w:val="5"/>
            <w:vAlign w:val="bottom"/>
          </w:tcPr>
          <w:p w:rsidR="00B76DA1" w:rsidRPr="009A43CB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890" w:type="dxa"/>
          </w:tcPr>
          <w:p w:rsidR="00B76DA1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A43CB" w:rsidRPr="009A43CB" w:rsidTr="00783593">
        <w:tc>
          <w:tcPr>
            <w:tcW w:w="7886" w:type="dxa"/>
            <w:gridSpan w:val="5"/>
            <w:vAlign w:val="bottom"/>
          </w:tcPr>
          <w:p w:rsidR="00B76DA1" w:rsidRPr="009A43CB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Priešmokyklinio ugdymo </w:t>
            </w:r>
            <w:r w:rsidR="00634A65"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890" w:type="dxa"/>
          </w:tcPr>
          <w:p w:rsidR="00B76DA1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B76DA1" w:rsidRPr="009A43CB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 w:rsidRPr="009A43CB">
              <w:rPr>
                <w:rFonts w:ascii="Times New Roman" w:hAnsi="Times New Roman"/>
                <w:sz w:val="24"/>
                <w:szCs w:val="24"/>
              </w:rPr>
              <w:t xml:space="preserve"> (pirmu pasirinkimu) spalio </w:t>
            </w:r>
            <w:r w:rsidR="00634A65" w:rsidRPr="009A43CB">
              <w:rPr>
                <w:rFonts w:ascii="Times New Roman" w:hAnsi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890" w:type="dxa"/>
          </w:tcPr>
          <w:p w:rsidR="00B76DA1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3CB" w:rsidRPr="009A43CB" w:rsidTr="00783593">
        <w:tc>
          <w:tcPr>
            <w:tcW w:w="7886" w:type="dxa"/>
            <w:gridSpan w:val="5"/>
            <w:shd w:val="clear" w:color="auto" w:fill="auto"/>
          </w:tcPr>
          <w:p w:rsidR="00D17999" w:rsidRPr="009A43CB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skaičius</w:t>
            </w:r>
          </w:p>
        </w:tc>
        <w:tc>
          <w:tcPr>
            <w:tcW w:w="1890" w:type="dxa"/>
          </w:tcPr>
          <w:p w:rsidR="00D17999" w:rsidRPr="009A43CB" w:rsidRDefault="00366D8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A43CB" w:rsidRPr="009A43CB" w:rsidTr="00783593">
        <w:tc>
          <w:tcPr>
            <w:tcW w:w="7886" w:type="dxa"/>
            <w:gridSpan w:val="5"/>
            <w:shd w:val="clear" w:color="auto" w:fill="auto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9A43CB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1890" w:type="dxa"/>
          </w:tcPr>
          <w:p w:rsidR="00D17999" w:rsidRPr="009A43CB" w:rsidRDefault="00366D8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center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Darbuotojai</w:t>
            </w:r>
          </w:p>
        </w:tc>
        <w:tc>
          <w:tcPr>
            <w:tcW w:w="1559" w:type="dxa"/>
            <w:gridSpan w:val="2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Skirtų etatų skaičius</w:t>
            </w:r>
          </w:p>
        </w:tc>
        <w:tc>
          <w:tcPr>
            <w:tcW w:w="2079" w:type="dxa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Užimtų etatų skaičius</w:t>
            </w:r>
          </w:p>
        </w:tc>
        <w:tc>
          <w:tcPr>
            <w:tcW w:w="1890" w:type="dxa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bottom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gridSpan w:val="2"/>
          </w:tcPr>
          <w:p w:rsidR="00D17999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D17999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17999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bottom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Pavaduotojas ugdymui</w:t>
            </w:r>
          </w:p>
        </w:tc>
        <w:tc>
          <w:tcPr>
            <w:tcW w:w="1559" w:type="dxa"/>
            <w:gridSpan w:val="2"/>
          </w:tcPr>
          <w:p w:rsidR="00D17999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79" w:type="dxa"/>
          </w:tcPr>
          <w:p w:rsidR="00D17999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90" w:type="dxa"/>
          </w:tcPr>
          <w:p w:rsidR="00D17999" w:rsidRPr="009A43CB" w:rsidRDefault="00AA2F3C" w:rsidP="00AA2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bottom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Pavaduotojas ūkio reikalams (ūkvedys)</w:t>
            </w:r>
          </w:p>
        </w:tc>
        <w:tc>
          <w:tcPr>
            <w:tcW w:w="1559" w:type="dxa"/>
            <w:gridSpan w:val="2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90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bottom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59" w:type="dxa"/>
            <w:gridSpan w:val="2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bottom"/>
          </w:tcPr>
          <w:p w:rsidR="00D17999" w:rsidRPr="009A43CB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Priešmokyklinio ugdymo mokytojai</w:t>
            </w:r>
          </w:p>
        </w:tc>
        <w:tc>
          <w:tcPr>
            <w:tcW w:w="1559" w:type="dxa"/>
            <w:gridSpan w:val="2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3CB" w:rsidRPr="009A43CB" w:rsidTr="00783593">
        <w:tc>
          <w:tcPr>
            <w:tcW w:w="4248" w:type="dxa"/>
            <w:gridSpan w:val="2"/>
            <w:vAlign w:val="bottom"/>
          </w:tcPr>
          <w:p w:rsidR="00D17999" w:rsidRPr="009A43CB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Nepedagoginiai darbuotojai</w:t>
            </w:r>
          </w:p>
        </w:tc>
        <w:tc>
          <w:tcPr>
            <w:tcW w:w="1559" w:type="dxa"/>
            <w:gridSpan w:val="2"/>
          </w:tcPr>
          <w:p w:rsidR="00D17999" w:rsidRPr="009A43CB" w:rsidRDefault="00D13876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D17999" w:rsidRPr="009A43CB" w:rsidRDefault="00D13876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D17999" w:rsidRPr="009A43CB" w:rsidRDefault="00027EA7" w:rsidP="00027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  <w:r w:rsidR="00D13876" w:rsidRPr="009A4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3CB" w:rsidRPr="009A43CB" w:rsidTr="00311B55">
        <w:tc>
          <w:tcPr>
            <w:tcW w:w="3114" w:type="dxa"/>
            <w:shd w:val="clear" w:color="auto" w:fill="auto"/>
          </w:tcPr>
          <w:p w:rsidR="00C27CE6" w:rsidRPr="009A43CB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Skirtų etatų skaičius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Užimtų etatų skaičius</w:t>
            </w:r>
          </w:p>
        </w:tc>
        <w:tc>
          <w:tcPr>
            <w:tcW w:w="1890" w:type="dxa"/>
            <w:shd w:val="clear" w:color="auto" w:fill="auto"/>
          </w:tcPr>
          <w:p w:rsidR="00C27CE6" w:rsidRPr="009A43CB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</w:tc>
      </w:tr>
      <w:tr w:rsidR="009A43CB" w:rsidRPr="009A43CB" w:rsidTr="00311B55">
        <w:tc>
          <w:tcPr>
            <w:tcW w:w="3114" w:type="dxa"/>
            <w:shd w:val="clear" w:color="auto" w:fill="auto"/>
            <w:vAlign w:val="bottom"/>
          </w:tcPr>
          <w:p w:rsidR="00C27CE6" w:rsidRPr="009A43CB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90" w:type="dxa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3CB" w:rsidRPr="009A43CB" w:rsidTr="00311B55">
        <w:tc>
          <w:tcPr>
            <w:tcW w:w="3114" w:type="dxa"/>
            <w:shd w:val="clear" w:color="auto" w:fill="auto"/>
            <w:vAlign w:val="bottom"/>
          </w:tcPr>
          <w:p w:rsidR="00C27CE6" w:rsidRPr="009A43CB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3CB" w:rsidRPr="009A43CB" w:rsidTr="00311B55">
        <w:tc>
          <w:tcPr>
            <w:tcW w:w="3114" w:type="dxa"/>
            <w:shd w:val="clear" w:color="auto" w:fill="auto"/>
            <w:vAlign w:val="bottom"/>
          </w:tcPr>
          <w:p w:rsidR="00C27CE6" w:rsidRPr="009A43CB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3CB" w:rsidRPr="009A43CB" w:rsidTr="00311B55">
        <w:tc>
          <w:tcPr>
            <w:tcW w:w="3114" w:type="dxa"/>
            <w:shd w:val="clear" w:color="auto" w:fill="auto"/>
            <w:vAlign w:val="bottom"/>
          </w:tcPr>
          <w:p w:rsidR="00C27CE6" w:rsidRPr="009A43CB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 xml:space="preserve">Socialinis pedagogas 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3CB" w:rsidRPr="009A43CB" w:rsidTr="00311B55">
        <w:tc>
          <w:tcPr>
            <w:tcW w:w="3114" w:type="dxa"/>
            <w:shd w:val="clear" w:color="auto" w:fill="auto"/>
            <w:vAlign w:val="bottom"/>
          </w:tcPr>
          <w:p w:rsidR="00C27CE6" w:rsidRPr="009A43CB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Mokytojo padėjėjai spec. poreikių vaikams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90" w:type="dxa"/>
            <w:shd w:val="clear" w:color="auto" w:fill="auto"/>
          </w:tcPr>
          <w:p w:rsidR="00C27CE6" w:rsidRPr="009A43CB" w:rsidRDefault="00027EA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3CB" w:rsidRPr="009A43CB" w:rsidTr="00783593">
        <w:tc>
          <w:tcPr>
            <w:tcW w:w="7886" w:type="dxa"/>
            <w:gridSpan w:val="5"/>
            <w:shd w:val="clear" w:color="auto" w:fill="auto"/>
          </w:tcPr>
          <w:p w:rsidR="00C27CE6" w:rsidRPr="009A43CB" w:rsidRDefault="00C27CE6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</w:p>
        </w:tc>
        <w:tc>
          <w:tcPr>
            <w:tcW w:w="1890" w:type="dxa"/>
          </w:tcPr>
          <w:p w:rsidR="00C27CE6" w:rsidRPr="009A43CB" w:rsidRDefault="008C3A2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</w:tr>
      <w:tr w:rsidR="009A43CB" w:rsidRPr="009A43CB" w:rsidTr="00783593">
        <w:tc>
          <w:tcPr>
            <w:tcW w:w="7886" w:type="dxa"/>
            <w:gridSpan w:val="5"/>
            <w:shd w:val="clear" w:color="auto" w:fill="auto"/>
          </w:tcPr>
          <w:p w:rsidR="004E6777" w:rsidRPr="009A43CB" w:rsidRDefault="004E6777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mokytojų(metodininkų ir ekspertų) skaičius</w:t>
            </w:r>
          </w:p>
        </w:tc>
        <w:tc>
          <w:tcPr>
            <w:tcW w:w="1890" w:type="dxa"/>
          </w:tcPr>
          <w:p w:rsidR="004E6777" w:rsidRPr="009A43CB" w:rsidRDefault="00027EA7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3CB" w:rsidRPr="009A43CB" w:rsidTr="00783593">
        <w:tc>
          <w:tcPr>
            <w:tcW w:w="7886" w:type="dxa"/>
            <w:gridSpan w:val="5"/>
            <w:shd w:val="clear" w:color="auto" w:fill="auto"/>
          </w:tcPr>
          <w:p w:rsidR="00C27CE6" w:rsidRPr="009A43CB" w:rsidRDefault="00C27CE6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mokytojų(metodininkų ir ekspertų) dalis (proc.)</w:t>
            </w:r>
          </w:p>
        </w:tc>
        <w:tc>
          <w:tcPr>
            <w:tcW w:w="1890" w:type="dxa"/>
          </w:tcPr>
          <w:p w:rsidR="00C27CE6" w:rsidRPr="009A43CB" w:rsidRDefault="008C3A2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</w:tr>
      <w:tr w:rsidR="009A43CB" w:rsidRPr="009A43CB" w:rsidTr="00783593">
        <w:tc>
          <w:tcPr>
            <w:tcW w:w="7886" w:type="dxa"/>
            <w:gridSpan w:val="5"/>
            <w:shd w:val="clear" w:color="auto" w:fill="auto"/>
          </w:tcPr>
          <w:p w:rsidR="00D17999" w:rsidRPr="009A43CB" w:rsidRDefault="00D17999" w:rsidP="00D1799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patalpų plotas, tenkantis vienam mokiniui (kv. m)</w:t>
            </w:r>
          </w:p>
        </w:tc>
        <w:tc>
          <w:tcPr>
            <w:tcW w:w="1890" w:type="dxa"/>
          </w:tcPr>
          <w:p w:rsidR="00D17999" w:rsidRPr="009A43CB" w:rsidRDefault="00A55092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lėšos(Eur)</w:t>
            </w:r>
          </w:p>
        </w:tc>
        <w:tc>
          <w:tcPr>
            <w:tcW w:w="1890" w:type="dxa"/>
          </w:tcPr>
          <w:p w:rsidR="00783593" w:rsidRPr="009A43CB" w:rsidRDefault="00027EA7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89280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lėšos(Eur)</w:t>
            </w:r>
          </w:p>
        </w:tc>
        <w:tc>
          <w:tcPr>
            <w:tcW w:w="1890" w:type="dxa"/>
          </w:tcPr>
          <w:p w:rsidR="00783593" w:rsidRPr="009A43CB" w:rsidRDefault="00027EA7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188767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(Eur)</w:t>
            </w:r>
          </w:p>
        </w:tc>
        <w:tc>
          <w:tcPr>
            <w:tcW w:w="1890" w:type="dxa"/>
          </w:tcPr>
          <w:p w:rsidR="00783593" w:rsidRPr="009A43CB" w:rsidRDefault="005830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Aplinkos lėšos, tenkančios vienam mokiniui (Eur)</w:t>
            </w:r>
          </w:p>
        </w:tc>
        <w:tc>
          <w:tcPr>
            <w:tcW w:w="1890" w:type="dxa"/>
          </w:tcPr>
          <w:p w:rsidR="00783593" w:rsidRPr="009A43CB" w:rsidRDefault="005830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3146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0D79B2" w:rsidRPr="009A43CB" w:rsidRDefault="000D79B2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Specialiosios lėšos (tėvų įnašai edukacinėms erdvėms ir paramos lėšos) (Eur)</w:t>
            </w:r>
          </w:p>
        </w:tc>
        <w:tc>
          <w:tcPr>
            <w:tcW w:w="1890" w:type="dxa"/>
          </w:tcPr>
          <w:p w:rsidR="000D79B2" w:rsidRPr="009A43CB" w:rsidRDefault="005830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3551,82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</w:t>
            </w:r>
            <w:r w:rsidR="000438DF"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, spec.</w:t>
            </w: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ir aplinkos lėšos, tenkančios vienam mokiniui (Eur)</w:t>
            </w:r>
          </w:p>
        </w:tc>
        <w:tc>
          <w:tcPr>
            <w:tcW w:w="1890" w:type="dxa"/>
          </w:tcPr>
          <w:p w:rsidR="00783593" w:rsidRPr="009A43CB" w:rsidRDefault="005830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4990</w:t>
            </w:r>
          </w:p>
        </w:tc>
      </w:tr>
      <w:tr w:rsidR="009A43CB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kern w:val="24"/>
                <w:sz w:val="24"/>
                <w:szCs w:val="24"/>
              </w:rPr>
              <w:t>Mokymo lėšos, panaudotos mokymo priemonėms įsigyti, tenkančios vienam mokiniui (Eur)</w:t>
            </w:r>
          </w:p>
        </w:tc>
        <w:tc>
          <w:tcPr>
            <w:tcW w:w="1890" w:type="dxa"/>
          </w:tcPr>
          <w:p w:rsidR="00783593" w:rsidRPr="009A43CB" w:rsidRDefault="005830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83593" w:rsidRPr="009A43CB" w:rsidTr="00783593">
        <w:tc>
          <w:tcPr>
            <w:tcW w:w="7886" w:type="dxa"/>
            <w:gridSpan w:val="5"/>
          </w:tcPr>
          <w:p w:rsidR="00783593" w:rsidRPr="009A43CB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A43CB">
              <w:rPr>
                <w:rFonts w:ascii="Times New Roman" w:eastAsia="Calibri" w:hAnsi="Times New Roman"/>
                <w:kern w:val="24"/>
                <w:sz w:val="24"/>
                <w:szCs w:val="24"/>
              </w:rPr>
              <w:t>Vidutinis ikimokyklinio, priešmokyklinio ugdymo mokytojo darbo užmokestis (bruto, Eur)</w:t>
            </w:r>
          </w:p>
        </w:tc>
        <w:tc>
          <w:tcPr>
            <w:tcW w:w="1890" w:type="dxa"/>
          </w:tcPr>
          <w:p w:rsidR="00783593" w:rsidRPr="009A43CB" w:rsidRDefault="008642A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3CB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</w:tr>
    </w:tbl>
    <w:p w:rsidR="00B313B5" w:rsidRPr="009A43CB" w:rsidRDefault="00B313B5">
      <w:pPr>
        <w:rPr>
          <w:lang w:val="lt-LT"/>
        </w:rPr>
      </w:pPr>
    </w:p>
    <w:p w:rsidR="00C177DD" w:rsidRPr="00C177DD" w:rsidRDefault="00C177DD" w:rsidP="00C177DD">
      <w:pPr>
        <w:jc w:val="center"/>
        <w:rPr>
          <w:lang w:val="lt-LT"/>
        </w:rPr>
      </w:pPr>
      <w:r w:rsidRPr="009A43CB">
        <w:rPr>
          <w:u w:val="single"/>
          <w:lang w:val="lt-LT"/>
        </w:rPr>
        <w:tab/>
      </w:r>
      <w:r w:rsidRPr="009A43CB"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C177DD" w:rsidRPr="00C177DD" w:rsidSect="0059099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3EABF"/>
    <w:multiLevelType w:val="singleLevel"/>
    <w:tmpl w:val="B713EABF"/>
    <w:lvl w:ilvl="0">
      <w:start w:val="1"/>
      <w:numFmt w:val="decimal"/>
      <w:suff w:val="space"/>
      <w:lvlText w:val="%1."/>
      <w:lvlJc w:val="left"/>
    </w:lvl>
  </w:abstractNum>
  <w:abstractNum w:abstractNumId="1">
    <w:nsid w:val="C9845DF2"/>
    <w:multiLevelType w:val="singleLevel"/>
    <w:tmpl w:val="A1CA59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  <w:szCs w:val="10"/>
      </w:rPr>
    </w:lvl>
  </w:abstractNum>
  <w:abstractNum w:abstractNumId="2">
    <w:nsid w:val="DAA727F9"/>
    <w:multiLevelType w:val="singleLevel"/>
    <w:tmpl w:val="CD0CE6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  <w:szCs w:val="10"/>
      </w:rPr>
    </w:lvl>
  </w:abstractNum>
  <w:abstractNum w:abstractNumId="3">
    <w:nsid w:val="DB3566C4"/>
    <w:multiLevelType w:val="singleLevel"/>
    <w:tmpl w:val="524207A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  <w:szCs w:val="10"/>
      </w:rPr>
    </w:lvl>
  </w:abstractNum>
  <w:abstractNum w:abstractNumId="4">
    <w:nsid w:val="E3B619E7"/>
    <w:multiLevelType w:val="singleLevel"/>
    <w:tmpl w:val="9946BF8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0"/>
        <w:szCs w:val="10"/>
      </w:rPr>
    </w:lvl>
  </w:abstractNum>
  <w:abstractNum w:abstractNumId="5">
    <w:nsid w:val="0A047A54"/>
    <w:multiLevelType w:val="multilevel"/>
    <w:tmpl w:val="6DFA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2324"/>
    <w:multiLevelType w:val="multilevel"/>
    <w:tmpl w:val="7D84A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210BF0"/>
    <w:multiLevelType w:val="multilevel"/>
    <w:tmpl w:val="32A42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401714"/>
    <w:multiLevelType w:val="singleLevel"/>
    <w:tmpl w:val="33401714"/>
    <w:lvl w:ilvl="0">
      <w:start w:val="1"/>
      <w:numFmt w:val="decimal"/>
      <w:suff w:val="space"/>
      <w:lvlText w:val="%1."/>
      <w:lvlJc w:val="left"/>
    </w:lvl>
  </w:abstractNum>
  <w:abstractNum w:abstractNumId="10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84AA2"/>
    <w:rsid w:val="00027EA7"/>
    <w:rsid w:val="00034EEE"/>
    <w:rsid w:val="00040A33"/>
    <w:rsid w:val="000438DF"/>
    <w:rsid w:val="00090335"/>
    <w:rsid w:val="000C09F8"/>
    <w:rsid w:val="000D79B2"/>
    <w:rsid w:val="00103B1B"/>
    <w:rsid w:val="00106C82"/>
    <w:rsid w:val="00121CAF"/>
    <w:rsid w:val="00123A13"/>
    <w:rsid w:val="00144970"/>
    <w:rsid w:val="00146020"/>
    <w:rsid w:val="00200FFC"/>
    <w:rsid w:val="00222145"/>
    <w:rsid w:val="00254787"/>
    <w:rsid w:val="00260C32"/>
    <w:rsid w:val="00267F76"/>
    <w:rsid w:val="002C49FB"/>
    <w:rsid w:val="002C544B"/>
    <w:rsid w:val="002C747C"/>
    <w:rsid w:val="002D36AD"/>
    <w:rsid w:val="002E0B38"/>
    <w:rsid w:val="00311B55"/>
    <w:rsid w:val="00341486"/>
    <w:rsid w:val="00362693"/>
    <w:rsid w:val="00366467"/>
    <w:rsid w:val="00366D8D"/>
    <w:rsid w:val="00375531"/>
    <w:rsid w:val="003B025B"/>
    <w:rsid w:val="003B409B"/>
    <w:rsid w:val="003E26BB"/>
    <w:rsid w:val="003F6432"/>
    <w:rsid w:val="00411B8F"/>
    <w:rsid w:val="00417C78"/>
    <w:rsid w:val="0044502A"/>
    <w:rsid w:val="004900FB"/>
    <w:rsid w:val="004D6456"/>
    <w:rsid w:val="004E6777"/>
    <w:rsid w:val="00522E0F"/>
    <w:rsid w:val="00526A2B"/>
    <w:rsid w:val="00531B7C"/>
    <w:rsid w:val="005357F7"/>
    <w:rsid w:val="00560046"/>
    <w:rsid w:val="00582DB4"/>
    <w:rsid w:val="0058307F"/>
    <w:rsid w:val="00584AA2"/>
    <w:rsid w:val="00590999"/>
    <w:rsid w:val="00597896"/>
    <w:rsid w:val="00612CC9"/>
    <w:rsid w:val="00624CA9"/>
    <w:rsid w:val="00634A65"/>
    <w:rsid w:val="0064029D"/>
    <w:rsid w:val="00660E85"/>
    <w:rsid w:val="00666090"/>
    <w:rsid w:val="00687083"/>
    <w:rsid w:val="0069330C"/>
    <w:rsid w:val="006A6CE6"/>
    <w:rsid w:val="006B6522"/>
    <w:rsid w:val="00704060"/>
    <w:rsid w:val="0073073A"/>
    <w:rsid w:val="00744783"/>
    <w:rsid w:val="00751E1E"/>
    <w:rsid w:val="00764863"/>
    <w:rsid w:val="00770D13"/>
    <w:rsid w:val="00783593"/>
    <w:rsid w:val="0078556C"/>
    <w:rsid w:val="007A762D"/>
    <w:rsid w:val="007C6F7F"/>
    <w:rsid w:val="008005D5"/>
    <w:rsid w:val="00802031"/>
    <w:rsid w:val="00856818"/>
    <w:rsid w:val="00857721"/>
    <w:rsid w:val="00860852"/>
    <w:rsid w:val="008642AF"/>
    <w:rsid w:val="008B5A95"/>
    <w:rsid w:val="008C3A2F"/>
    <w:rsid w:val="008D1EBC"/>
    <w:rsid w:val="008D63D8"/>
    <w:rsid w:val="008E0CE3"/>
    <w:rsid w:val="008E10B4"/>
    <w:rsid w:val="008E3F52"/>
    <w:rsid w:val="0092082B"/>
    <w:rsid w:val="009268F0"/>
    <w:rsid w:val="00936EE4"/>
    <w:rsid w:val="00975AB9"/>
    <w:rsid w:val="0098055B"/>
    <w:rsid w:val="009A43CB"/>
    <w:rsid w:val="009C2EAA"/>
    <w:rsid w:val="009C5ACA"/>
    <w:rsid w:val="009F731D"/>
    <w:rsid w:val="00A2098B"/>
    <w:rsid w:val="00A3330B"/>
    <w:rsid w:val="00A45424"/>
    <w:rsid w:val="00A55092"/>
    <w:rsid w:val="00A9450F"/>
    <w:rsid w:val="00AA2F3C"/>
    <w:rsid w:val="00B313B5"/>
    <w:rsid w:val="00B33F4E"/>
    <w:rsid w:val="00B372DE"/>
    <w:rsid w:val="00B76DA1"/>
    <w:rsid w:val="00B9337D"/>
    <w:rsid w:val="00BA111D"/>
    <w:rsid w:val="00BF1204"/>
    <w:rsid w:val="00BF34D5"/>
    <w:rsid w:val="00C177DD"/>
    <w:rsid w:val="00C20CD0"/>
    <w:rsid w:val="00C274EC"/>
    <w:rsid w:val="00C27CE6"/>
    <w:rsid w:val="00C316A0"/>
    <w:rsid w:val="00C46A78"/>
    <w:rsid w:val="00C51FAA"/>
    <w:rsid w:val="00C6021E"/>
    <w:rsid w:val="00C67727"/>
    <w:rsid w:val="00C75A8F"/>
    <w:rsid w:val="00C820A8"/>
    <w:rsid w:val="00CB713A"/>
    <w:rsid w:val="00CE41BC"/>
    <w:rsid w:val="00CE7F2E"/>
    <w:rsid w:val="00D13876"/>
    <w:rsid w:val="00D17999"/>
    <w:rsid w:val="00D25C3D"/>
    <w:rsid w:val="00D27DC0"/>
    <w:rsid w:val="00D561FF"/>
    <w:rsid w:val="00D61120"/>
    <w:rsid w:val="00D654BE"/>
    <w:rsid w:val="00D76F18"/>
    <w:rsid w:val="00DB68D7"/>
    <w:rsid w:val="00DD56F2"/>
    <w:rsid w:val="00E174DF"/>
    <w:rsid w:val="00E501CC"/>
    <w:rsid w:val="00E60ACF"/>
    <w:rsid w:val="00E63781"/>
    <w:rsid w:val="00E704FF"/>
    <w:rsid w:val="00EE03E3"/>
    <w:rsid w:val="00F22936"/>
    <w:rsid w:val="00F3532B"/>
    <w:rsid w:val="00F36A65"/>
    <w:rsid w:val="00F4243D"/>
    <w:rsid w:val="00F61290"/>
    <w:rsid w:val="00F634F7"/>
    <w:rsid w:val="00F914D2"/>
    <w:rsid w:val="00F96909"/>
    <w:rsid w:val="00FA750A"/>
    <w:rsid w:val="00FC4BC7"/>
    <w:rsid w:val="00FC522E"/>
    <w:rsid w:val="00FD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2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1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5DAE-F168-4503-8EE3-F6A3B145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4598</Words>
  <Characters>2621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Petkevičius</dc:creator>
  <cp:lastModifiedBy>Dell</cp:lastModifiedBy>
  <cp:revision>2</cp:revision>
  <cp:lastPrinted>2020-12-01T13:15:00Z</cp:lastPrinted>
  <dcterms:created xsi:type="dcterms:W3CDTF">2022-01-06T06:04:00Z</dcterms:created>
  <dcterms:modified xsi:type="dcterms:W3CDTF">2022-01-06T06:04:00Z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86121204-3e8c-48a0-9440-60b37cd28519</vt:lpwstr>
  </property>
</Properties>
</file>